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E48" w:rsidRPr="00F42C0E" w:rsidRDefault="00941AF0" w:rsidP="009A5E48">
      <w:pPr>
        <w:pStyle w:val="a9"/>
        <w:tabs>
          <w:tab w:val="left" w:pos="2410"/>
        </w:tabs>
        <w:jc w:val="center"/>
        <w:rPr>
          <w:b/>
          <w:sz w:val="26"/>
          <w:szCs w:val="26"/>
        </w:rPr>
      </w:pPr>
      <w:r w:rsidRPr="003035D1">
        <w:t xml:space="preserve"> </w:t>
      </w:r>
      <w:r w:rsidR="009A5E48" w:rsidRPr="00F42C0E">
        <w:rPr>
          <w:b/>
          <w:sz w:val="26"/>
          <w:szCs w:val="26"/>
        </w:rPr>
        <w:t>Обзор значимых изменений в законодательстве.</w:t>
      </w:r>
    </w:p>
    <w:p w:rsidR="009A5E48" w:rsidRDefault="009A5E48" w:rsidP="009A5E48">
      <w:pPr>
        <w:pStyle w:val="a9"/>
        <w:jc w:val="center"/>
        <w:rPr>
          <w:b/>
          <w:sz w:val="26"/>
          <w:szCs w:val="26"/>
        </w:rPr>
      </w:pPr>
      <w:r w:rsidRPr="00F42C0E">
        <w:rPr>
          <w:b/>
          <w:sz w:val="26"/>
          <w:szCs w:val="26"/>
        </w:rPr>
        <w:t>(</w:t>
      </w:r>
      <w:r>
        <w:rPr>
          <w:b/>
          <w:sz w:val="26"/>
          <w:szCs w:val="26"/>
        </w:rPr>
        <w:t>06</w:t>
      </w:r>
      <w:r w:rsidRPr="00F42C0E">
        <w:rPr>
          <w:b/>
          <w:sz w:val="26"/>
          <w:szCs w:val="26"/>
        </w:rPr>
        <w:t xml:space="preserve"> ию</w:t>
      </w:r>
      <w:r>
        <w:rPr>
          <w:b/>
          <w:sz w:val="26"/>
          <w:szCs w:val="26"/>
        </w:rPr>
        <w:t>л</w:t>
      </w:r>
      <w:r w:rsidRPr="00F42C0E">
        <w:rPr>
          <w:b/>
          <w:sz w:val="26"/>
          <w:szCs w:val="26"/>
        </w:rPr>
        <w:t xml:space="preserve">я </w:t>
      </w:r>
      <w:r>
        <w:rPr>
          <w:b/>
          <w:sz w:val="26"/>
          <w:szCs w:val="26"/>
        </w:rPr>
        <w:t xml:space="preserve">– 14 июля </w:t>
      </w:r>
      <w:r w:rsidRPr="00F42C0E">
        <w:rPr>
          <w:b/>
          <w:sz w:val="26"/>
          <w:szCs w:val="26"/>
        </w:rPr>
        <w:t>2017 года)</w:t>
      </w:r>
    </w:p>
    <w:p w:rsidR="00E55011" w:rsidRDefault="00E55011" w:rsidP="00E55011">
      <w:pPr>
        <w:pStyle w:val="1"/>
        <w:spacing w:before="0" w:after="0"/>
        <w:jc w:val="both"/>
        <w:rPr>
          <w:rFonts w:ascii="Times New Roman" w:hAnsi="Times New Roman" w:cs="Times New Roman"/>
          <w:color w:val="auto"/>
        </w:rPr>
      </w:pPr>
    </w:p>
    <w:p w:rsidR="00A91B0C" w:rsidRDefault="00A91B0C" w:rsidP="00E55011">
      <w:pPr>
        <w:pStyle w:val="1"/>
        <w:spacing w:before="0" w:after="0"/>
        <w:jc w:val="both"/>
        <w:rPr>
          <w:rFonts w:ascii="Times New Roman" w:hAnsi="Times New Roman" w:cs="Times New Roman"/>
          <w:color w:val="auto"/>
        </w:rPr>
      </w:pPr>
      <w:r>
        <w:rPr>
          <w:rFonts w:ascii="Times New Roman" w:hAnsi="Times New Roman" w:cs="Times New Roman"/>
          <w:color w:val="auto"/>
        </w:rPr>
        <w:t>Изменения (дополнения)</w:t>
      </w:r>
      <w:r w:rsidR="001C2763" w:rsidRPr="001C2763">
        <w:rPr>
          <w:rFonts w:ascii="Times New Roman" w:hAnsi="Times New Roman" w:cs="Times New Roman"/>
          <w:color w:val="auto"/>
        </w:rPr>
        <w:tab/>
      </w:r>
      <w:r>
        <w:rPr>
          <w:rFonts w:ascii="Times New Roman" w:hAnsi="Times New Roman" w:cs="Times New Roman"/>
          <w:color w:val="auto"/>
        </w:rPr>
        <w:t>в Трудовой кодекс РФ.</w:t>
      </w:r>
    </w:p>
    <w:p w:rsidR="00E55011" w:rsidRPr="00E55011" w:rsidRDefault="00E55011" w:rsidP="00E55011"/>
    <w:p w:rsidR="00B701EE" w:rsidRPr="00B701EE" w:rsidRDefault="00B701EE" w:rsidP="00B701EE">
      <w:pPr>
        <w:autoSpaceDE w:val="0"/>
        <w:autoSpaceDN w:val="0"/>
        <w:adjustRightInd w:val="0"/>
        <w:ind w:firstLine="720"/>
        <w:rPr>
          <w:rFonts w:eastAsiaTheme="minorHAnsi"/>
          <w:sz w:val="24"/>
          <w:szCs w:val="24"/>
          <w:lang w:eastAsia="en-US"/>
        </w:rPr>
      </w:pPr>
      <w:r w:rsidRPr="00B701EE">
        <w:rPr>
          <w:rFonts w:eastAsiaTheme="minorHAnsi"/>
          <w:sz w:val="24"/>
          <w:szCs w:val="24"/>
          <w:lang w:eastAsia="en-US"/>
        </w:rPr>
        <w:t>Поправки касаются неполного рабочего времени, оплаты сверхурочной работы и работы в выходные и праздничные дни.</w:t>
      </w:r>
    </w:p>
    <w:p w:rsidR="00B701EE" w:rsidRPr="00B701EE" w:rsidRDefault="00B701EE" w:rsidP="00B701EE">
      <w:pPr>
        <w:autoSpaceDE w:val="0"/>
        <w:autoSpaceDN w:val="0"/>
        <w:adjustRightInd w:val="0"/>
        <w:ind w:firstLine="720"/>
        <w:rPr>
          <w:rFonts w:eastAsiaTheme="minorHAnsi"/>
          <w:sz w:val="24"/>
          <w:szCs w:val="24"/>
          <w:lang w:eastAsia="en-US"/>
        </w:rPr>
      </w:pPr>
      <w:r w:rsidRPr="00B701EE">
        <w:rPr>
          <w:rFonts w:eastAsiaTheme="minorHAnsi"/>
          <w:sz w:val="24"/>
          <w:szCs w:val="24"/>
          <w:lang w:eastAsia="en-US"/>
        </w:rPr>
        <w:t>Закреплена возможность сокращения продолжительности ежедневной работы (смены) на определенное количество рабочих часов при одновременном сокращении количества рабочих дней в неделю. Ранее ТК РФ предусматривал установление либо неполного рабочего дня (смены), либо неполной рабочей недели.</w:t>
      </w:r>
    </w:p>
    <w:p w:rsidR="00B701EE" w:rsidRPr="00B701EE" w:rsidRDefault="00B701EE" w:rsidP="00B701EE">
      <w:pPr>
        <w:autoSpaceDE w:val="0"/>
        <w:autoSpaceDN w:val="0"/>
        <w:adjustRightInd w:val="0"/>
        <w:ind w:firstLine="720"/>
        <w:rPr>
          <w:rFonts w:eastAsiaTheme="minorHAnsi"/>
          <w:sz w:val="24"/>
          <w:szCs w:val="24"/>
          <w:lang w:eastAsia="en-US"/>
        </w:rPr>
      </w:pPr>
      <w:r w:rsidRPr="00B701EE">
        <w:rPr>
          <w:rFonts w:eastAsiaTheme="minorHAnsi"/>
          <w:sz w:val="24"/>
          <w:szCs w:val="24"/>
          <w:lang w:eastAsia="en-US"/>
        </w:rPr>
        <w:t>Неполное рабочее время можно устанавливать как без ограничения срока, так и на любой согласованный сторонами срок. При этом также разрешено разделение рабочего дня на части.</w:t>
      </w:r>
    </w:p>
    <w:p w:rsidR="00B701EE" w:rsidRPr="00B701EE" w:rsidRDefault="00B701EE" w:rsidP="00B701EE">
      <w:pPr>
        <w:autoSpaceDE w:val="0"/>
        <w:autoSpaceDN w:val="0"/>
        <w:adjustRightInd w:val="0"/>
        <w:ind w:firstLine="720"/>
        <w:rPr>
          <w:rFonts w:eastAsiaTheme="minorHAnsi"/>
          <w:sz w:val="24"/>
          <w:szCs w:val="24"/>
          <w:lang w:eastAsia="en-US"/>
        </w:rPr>
      </w:pPr>
      <w:r w:rsidRPr="00B701EE">
        <w:rPr>
          <w:rFonts w:eastAsiaTheme="minorHAnsi"/>
          <w:sz w:val="24"/>
          <w:szCs w:val="24"/>
          <w:lang w:eastAsia="en-US"/>
        </w:rPr>
        <w:t>В случаях, когда работодатель обязан по просьбе работника установить неполное рабочее время, его должны устанавливать на удобный для работника срок, но не более чем на период наличия соответствующих обстоятельств. При этом режим рабочего времени и времени отдыха определяется в соответствии с пожеланиями работника с учетом условий производства (работы) у данного работодателя.</w:t>
      </w:r>
    </w:p>
    <w:p w:rsidR="00B701EE" w:rsidRPr="00B701EE" w:rsidRDefault="00B701EE" w:rsidP="00B701EE">
      <w:pPr>
        <w:autoSpaceDE w:val="0"/>
        <w:autoSpaceDN w:val="0"/>
        <w:adjustRightInd w:val="0"/>
        <w:ind w:firstLine="720"/>
        <w:rPr>
          <w:rFonts w:eastAsiaTheme="minorHAnsi"/>
          <w:sz w:val="24"/>
          <w:szCs w:val="24"/>
          <w:lang w:eastAsia="en-US"/>
        </w:rPr>
      </w:pPr>
      <w:r w:rsidRPr="00B701EE">
        <w:rPr>
          <w:rFonts w:eastAsiaTheme="minorHAnsi"/>
          <w:sz w:val="24"/>
          <w:szCs w:val="24"/>
          <w:lang w:eastAsia="en-US"/>
        </w:rPr>
        <w:t>Поправки определяют, когда работнику, работающему на условиях неполного рабочего времени, можно установить ненормированный рабочий день. Это допустимо, только если соглашением сторон установлена неполная рабочая неделя, но с полным рабочим днем (сменой).</w:t>
      </w:r>
    </w:p>
    <w:p w:rsidR="00B701EE" w:rsidRPr="00B701EE" w:rsidRDefault="00B701EE" w:rsidP="00B701EE">
      <w:pPr>
        <w:autoSpaceDE w:val="0"/>
        <w:autoSpaceDN w:val="0"/>
        <w:adjustRightInd w:val="0"/>
        <w:ind w:firstLine="720"/>
        <w:rPr>
          <w:rFonts w:eastAsiaTheme="minorHAnsi"/>
          <w:sz w:val="24"/>
          <w:szCs w:val="24"/>
          <w:lang w:eastAsia="en-US"/>
        </w:rPr>
      </w:pPr>
      <w:r w:rsidRPr="00B701EE">
        <w:rPr>
          <w:rFonts w:eastAsiaTheme="minorHAnsi"/>
          <w:sz w:val="24"/>
          <w:szCs w:val="24"/>
          <w:lang w:eastAsia="en-US"/>
        </w:rPr>
        <w:t>Также закреплено, что, если установленная для работника продолжительность ежедневной работы (смены) не превышает 4 часов, ему может не предоставляться перерыв для отдыха и питания.</w:t>
      </w:r>
    </w:p>
    <w:p w:rsidR="00B701EE" w:rsidRPr="00B701EE" w:rsidRDefault="00B701EE" w:rsidP="00B701EE">
      <w:pPr>
        <w:autoSpaceDE w:val="0"/>
        <w:autoSpaceDN w:val="0"/>
        <w:adjustRightInd w:val="0"/>
        <w:ind w:firstLine="720"/>
        <w:rPr>
          <w:rFonts w:eastAsiaTheme="minorHAnsi"/>
          <w:sz w:val="24"/>
          <w:szCs w:val="24"/>
          <w:lang w:eastAsia="en-US"/>
        </w:rPr>
      </w:pPr>
      <w:r w:rsidRPr="00B701EE">
        <w:rPr>
          <w:rFonts w:eastAsiaTheme="minorHAnsi"/>
          <w:sz w:val="24"/>
          <w:szCs w:val="24"/>
          <w:lang w:eastAsia="en-US"/>
        </w:rPr>
        <w:t>Кроме того, уточнен порядок оплаты сверхурочной работы. При подсчете сверхурочных часов не учитывается работа в выходные и нерабочие праздничные дни, произведенная сверх нормы рабочего времени, поскольку она уже оплачена в повышенном размере или компенсирована другим днем отдыха.</w:t>
      </w:r>
    </w:p>
    <w:p w:rsidR="00B701EE" w:rsidRDefault="00B701EE" w:rsidP="00B701EE">
      <w:pPr>
        <w:autoSpaceDE w:val="0"/>
        <w:autoSpaceDN w:val="0"/>
        <w:adjustRightInd w:val="0"/>
        <w:ind w:firstLine="720"/>
        <w:rPr>
          <w:rFonts w:eastAsiaTheme="minorHAnsi"/>
          <w:sz w:val="24"/>
          <w:szCs w:val="24"/>
          <w:lang w:eastAsia="en-US"/>
        </w:rPr>
      </w:pPr>
      <w:r w:rsidRPr="00B701EE">
        <w:rPr>
          <w:rFonts w:eastAsiaTheme="minorHAnsi"/>
          <w:sz w:val="24"/>
          <w:szCs w:val="24"/>
          <w:lang w:eastAsia="en-US"/>
        </w:rPr>
        <w:t>Уточнен и порядок оплаты труда в выходные и нерабочие праздничные дни. Закреплено, что 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этот день (от 0 до 24 часов).</w:t>
      </w:r>
    </w:p>
    <w:p w:rsidR="00B701EE" w:rsidRDefault="00B701EE" w:rsidP="00B701EE">
      <w:pPr>
        <w:pStyle w:val="ad"/>
        <w:jc w:val="both"/>
        <w:rPr>
          <w:rFonts w:ascii="Times New Roman" w:hAnsi="Times New Roman" w:cs="Times New Roman"/>
          <w:sz w:val="20"/>
          <w:szCs w:val="20"/>
        </w:rPr>
      </w:pPr>
      <w:r w:rsidRPr="00A91B0C">
        <w:rPr>
          <w:rFonts w:ascii="Times New Roman" w:hAnsi="Times New Roman" w:cs="Times New Roman"/>
          <w:i/>
          <w:sz w:val="20"/>
          <w:szCs w:val="20"/>
          <w:u w:val="single"/>
        </w:rPr>
        <w:t>Источник</w:t>
      </w:r>
      <w:r w:rsidRPr="00A91B0C">
        <w:rPr>
          <w:rFonts w:ascii="Times New Roman" w:hAnsi="Times New Roman" w:cs="Times New Roman"/>
          <w:i/>
          <w:sz w:val="20"/>
          <w:szCs w:val="20"/>
        </w:rPr>
        <w:t>:</w:t>
      </w:r>
      <w:r w:rsidRPr="00A91B0C">
        <w:rPr>
          <w:rFonts w:ascii="Times New Roman" w:hAnsi="Times New Roman" w:cs="Times New Roman"/>
          <w:sz w:val="20"/>
          <w:szCs w:val="20"/>
        </w:rPr>
        <w:t xml:space="preserve"> "Официальной интернет-портал правовой информации" (</w:t>
      </w:r>
      <w:proofErr w:type="spellStart"/>
      <w:r w:rsidRPr="00A91B0C">
        <w:rPr>
          <w:rFonts w:ascii="Times New Roman" w:hAnsi="Times New Roman" w:cs="Times New Roman"/>
          <w:sz w:val="20"/>
          <w:szCs w:val="20"/>
        </w:rPr>
        <w:t>www.pravo.gov.ru</w:t>
      </w:r>
      <w:proofErr w:type="spellEnd"/>
      <w:r w:rsidRPr="00A91B0C">
        <w:rPr>
          <w:rFonts w:ascii="Times New Roman" w:hAnsi="Times New Roman" w:cs="Times New Roman"/>
          <w:sz w:val="20"/>
          <w:szCs w:val="20"/>
        </w:rPr>
        <w:t xml:space="preserve">), </w:t>
      </w:r>
    </w:p>
    <w:p w:rsidR="00B701EE" w:rsidRPr="00A91B0C" w:rsidRDefault="00CF3B8E" w:rsidP="00B701EE">
      <w:pPr>
        <w:pStyle w:val="ad"/>
        <w:jc w:val="both"/>
        <w:rPr>
          <w:rFonts w:ascii="Times New Roman" w:hAnsi="Times New Roman" w:cs="Times New Roman"/>
          <w:sz w:val="20"/>
          <w:szCs w:val="20"/>
        </w:rPr>
      </w:pPr>
      <w:r>
        <w:rPr>
          <w:rFonts w:ascii="Times New Roman" w:hAnsi="Times New Roman" w:cs="Times New Roman"/>
          <w:sz w:val="20"/>
          <w:szCs w:val="20"/>
        </w:rPr>
        <w:t xml:space="preserve">                   </w:t>
      </w:r>
      <w:r w:rsidR="00E55011">
        <w:rPr>
          <w:rFonts w:ascii="Times New Roman" w:hAnsi="Times New Roman" w:cs="Times New Roman"/>
          <w:sz w:val="20"/>
          <w:szCs w:val="20"/>
        </w:rPr>
        <w:t>"Российская газета" от 21 июн</w:t>
      </w:r>
      <w:r w:rsidR="00B701EE" w:rsidRPr="00A91B0C">
        <w:rPr>
          <w:rFonts w:ascii="Times New Roman" w:hAnsi="Times New Roman" w:cs="Times New Roman"/>
          <w:sz w:val="20"/>
          <w:szCs w:val="20"/>
        </w:rPr>
        <w:t>я 2017 г. N 144</w:t>
      </w:r>
    </w:p>
    <w:p w:rsidR="00B701EE" w:rsidRPr="00CF3B8E" w:rsidRDefault="00CF3B8E" w:rsidP="00B701EE">
      <w:pPr>
        <w:autoSpaceDE w:val="0"/>
        <w:autoSpaceDN w:val="0"/>
        <w:adjustRightInd w:val="0"/>
        <w:rPr>
          <w:rFonts w:eastAsia="Calibri"/>
        </w:rPr>
      </w:pPr>
      <w:r>
        <w:rPr>
          <w:rFonts w:eastAsia="Calibri"/>
        </w:rPr>
        <w:t xml:space="preserve">                    </w:t>
      </w:r>
      <w:r w:rsidR="00B701EE" w:rsidRPr="00CF3B8E">
        <w:rPr>
          <w:rFonts w:eastAsia="Calibri"/>
        </w:rPr>
        <w:t>Федеральн</w:t>
      </w:r>
      <w:r w:rsidR="00E55011" w:rsidRPr="00CF3B8E">
        <w:rPr>
          <w:rFonts w:eastAsia="Calibri"/>
        </w:rPr>
        <w:t>ый закон от 18 июня 2017 г. N 125</w:t>
      </w:r>
      <w:r w:rsidR="00B701EE" w:rsidRPr="00CF3B8E">
        <w:rPr>
          <w:rFonts w:eastAsia="Calibri"/>
        </w:rPr>
        <w:t>-ФЗ</w:t>
      </w:r>
    </w:p>
    <w:p w:rsidR="00E55011" w:rsidRDefault="00E55011" w:rsidP="00E55011">
      <w:pPr>
        <w:pStyle w:val="1"/>
        <w:spacing w:before="0" w:after="0"/>
        <w:jc w:val="both"/>
        <w:rPr>
          <w:rFonts w:ascii="Times New Roman" w:hAnsi="Times New Roman" w:cs="Times New Roman"/>
          <w:b w:val="0"/>
          <w:color w:val="auto"/>
        </w:rPr>
      </w:pPr>
    </w:p>
    <w:p w:rsidR="008E005C" w:rsidRDefault="00A91B0C" w:rsidP="00E55011">
      <w:pPr>
        <w:pStyle w:val="1"/>
        <w:spacing w:before="0" w:after="0"/>
        <w:jc w:val="both"/>
        <w:rPr>
          <w:rFonts w:ascii="Times New Roman" w:eastAsiaTheme="minorHAnsi" w:hAnsi="Times New Roman" w:cs="Times New Roman"/>
          <w:bCs w:val="0"/>
          <w:lang w:eastAsia="en-US"/>
        </w:rPr>
      </w:pPr>
      <w:r w:rsidRPr="00E55011">
        <w:rPr>
          <w:rFonts w:ascii="Times New Roman" w:hAnsi="Times New Roman" w:cs="Times New Roman"/>
          <w:b w:val="0"/>
          <w:color w:val="auto"/>
        </w:rPr>
        <w:tab/>
      </w:r>
      <w:r w:rsidR="008E005C" w:rsidRPr="00E55011">
        <w:rPr>
          <w:rFonts w:ascii="Times New Roman" w:eastAsiaTheme="minorHAnsi" w:hAnsi="Times New Roman" w:cs="Times New Roman"/>
          <w:bCs w:val="0"/>
          <w:lang w:eastAsia="en-US"/>
        </w:rPr>
        <w:t>Федеральный государственный контроль качества образования: регламент</w:t>
      </w:r>
    </w:p>
    <w:p w:rsidR="00E55011" w:rsidRPr="00E55011" w:rsidRDefault="00E55011" w:rsidP="00E55011">
      <w:pPr>
        <w:rPr>
          <w:rFonts w:eastAsiaTheme="minorHAnsi"/>
          <w:lang w:eastAsia="en-US"/>
        </w:rPr>
      </w:pPr>
    </w:p>
    <w:p w:rsidR="008E005C" w:rsidRPr="00E55011" w:rsidRDefault="00564F35" w:rsidP="008E005C">
      <w:pPr>
        <w:autoSpaceDE w:val="0"/>
        <w:autoSpaceDN w:val="0"/>
        <w:adjustRightInd w:val="0"/>
        <w:ind w:firstLine="720"/>
        <w:rPr>
          <w:rFonts w:eastAsiaTheme="minorHAnsi"/>
          <w:sz w:val="24"/>
          <w:szCs w:val="24"/>
          <w:lang w:eastAsia="en-US"/>
        </w:rPr>
      </w:pPr>
      <w:hyperlink r:id="rId5" w:history="1">
        <w:r w:rsidR="008E005C" w:rsidRPr="00E55011">
          <w:rPr>
            <w:rFonts w:eastAsiaTheme="minorHAnsi"/>
            <w:sz w:val="24"/>
            <w:szCs w:val="24"/>
            <w:lang w:eastAsia="en-US"/>
          </w:rPr>
          <w:t>Приказ Министерства образования и науки РФ от 14 июня 2017 г. N 546 "Об утверждении Административного регламента исполнения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функции по осуществлению федерального государственного контроля качества образования" (не вступил в силу)</w:t>
        </w:r>
      </w:hyperlink>
    </w:p>
    <w:p w:rsidR="008E005C" w:rsidRPr="00E55011" w:rsidRDefault="008E005C" w:rsidP="008E005C">
      <w:pPr>
        <w:autoSpaceDE w:val="0"/>
        <w:autoSpaceDN w:val="0"/>
        <w:adjustRightInd w:val="0"/>
        <w:ind w:firstLine="720"/>
        <w:rPr>
          <w:rFonts w:eastAsiaTheme="minorHAnsi"/>
          <w:sz w:val="24"/>
          <w:szCs w:val="24"/>
          <w:lang w:eastAsia="en-US"/>
        </w:rPr>
      </w:pPr>
      <w:r w:rsidRPr="00E55011">
        <w:rPr>
          <w:rFonts w:eastAsiaTheme="minorHAnsi"/>
          <w:sz w:val="24"/>
          <w:szCs w:val="24"/>
          <w:lang w:eastAsia="en-US"/>
        </w:rPr>
        <w:t>Утвержден Административный регламент исполнения органами власти регионов, осуществляющими переданные полномочия в сфере образования, государственной функции по осуществлению федерального государственного контроля качества образования.</w:t>
      </w:r>
    </w:p>
    <w:p w:rsidR="008E005C" w:rsidRPr="00E55011" w:rsidRDefault="008E005C" w:rsidP="008E005C">
      <w:pPr>
        <w:autoSpaceDE w:val="0"/>
        <w:autoSpaceDN w:val="0"/>
        <w:adjustRightInd w:val="0"/>
        <w:ind w:firstLine="720"/>
        <w:rPr>
          <w:rFonts w:eastAsiaTheme="minorHAnsi"/>
          <w:sz w:val="24"/>
          <w:szCs w:val="24"/>
          <w:lang w:eastAsia="en-US"/>
        </w:rPr>
      </w:pPr>
      <w:r w:rsidRPr="00E55011">
        <w:rPr>
          <w:rFonts w:eastAsiaTheme="minorHAnsi"/>
          <w:sz w:val="24"/>
          <w:szCs w:val="24"/>
          <w:lang w:eastAsia="en-US"/>
        </w:rPr>
        <w:t>Предмет контроля - оценка соответствия содержания и качества подготовки обучающихся по основным образовательным программам федеральным государственным образовательным стандартам в организациях, осуществляющих образовательную деятельность на территории региона (за некоторым исключением), посредством организации и проведения проверок качества образования и принятия по их результатам мер.</w:t>
      </w:r>
    </w:p>
    <w:p w:rsidR="008E005C" w:rsidRPr="00E55011" w:rsidRDefault="008E005C" w:rsidP="008E005C">
      <w:pPr>
        <w:autoSpaceDE w:val="0"/>
        <w:autoSpaceDN w:val="0"/>
        <w:adjustRightInd w:val="0"/>
        <w:ind w:firstLine="720"/>
        <w:rPr>
          <w:rFonts w:eastAsiaTheme="minorHAnsi"/>
          <w:sz w:val="24"/>
          <w:szCs w:val="24"/>
          <w:lang w:eastAsia="en-US"/>
        </w:rPr>
      </w:pPr>
      <w:r w:rsidRPr="00E55011">
        <w:rPr>
          <w:rFonts w:eastAsiaTheme="minorHAnsi"/>
          <w:sz w:val="24"/>
          <w:szCs w:val="24"/>
          <w:lang w:eastAsia="en-US"/>
        </w:rPr>
        <w:lastRenderedPageBreak/>
        <w:t>Срок исполнения функции при проведении каждой из проверок (как документарной, так и выездной) не может превышать 20 рабочих дней.</w:t>
      </w:r>
    </w:p>
    <w:p w:rsidR="008E005C" w:rsidRPr="00E55011" w:rsidRDefault="008E005C" w:rsidP="008E005C">
      <w:pPr>
        <w:autoSpaceDE w:val="0"/>
        <w:autoSpaceDN w:val="0"/>
        <w:adjustRightInd w:val="0"/>
        <w:ind w:firstLine="720"/>
        <w:rPr>
          <w:rFonts w:eastAsiaTheme="minorHAnsi"/>
          <w:sz w:val="24"/>
          <w:szCs w:val="24"/>
          <w:lang w:eastAsia="en-US"/>
        </w:rPr>
      </w:pPr>
      <w:r w:rsidRPr="00E55011">
        <w:rPr>
          <w:rFonts w:eastAsiaTheme="minorHAnsi"/>
          <w:sz w:val="24"/>
          <w:szCs w:val="24"/>
          <w:lang w:eastAsia="en-US"/>
        </w:rPr>
        <w:t>Срок проведения плановой проверки составляет не более чем 15 рабочих дней, внеплановой - 5 рабочих дней.</w:t>
      </w:r>
    </w:p>
    <w:p w:rsidR="00CF3B8E" w:rsidRDefault="008E005C" w:rsidP="008E005C">
      <w:pPr>
        <w:autoSpaceDE w:val="0"/>
        <w:autoSpaceDN w:val="0"/>
        <w:adjustRightInd w:val="0"/>
        <w:ind w:firstLine="720"/>
        <w:rPr>
          <w:rFonts w:eastAsiaTheme="minorHAnsi"/>
          <w:sz w:val="24"/>
          <w:szCs w:val="24"/>
          <w:lang w:eastAsia="en-US"/>
        </w:rPr>
      </w:pPr>
      <w:r w:rsidRPr="00E55011">
        <w:rPr>
          <w:rFonts w:eastAsiaTheme="minorHAnsi"/>
          <w:sz w:val="24"/>
          <w:szCs w:val="24"/>
          <w:lang w:eastAsia="en-US"/>
        </w:rPr>
        <w:t>По результатам должностным лицом, уполномоченным на проведение проверки, составляется акт проверки.</w:t>
      </w:r>
    </w:p>
    <w:p w:rsidR="00CF3B8E" w:rsidRPr="00E55011" w:rsidRDefault="00CF3B8E" w:rsidP="00CF3B8E">
      <w:pPr>
        <w:autoSpaceDE w:val="0"/>
        <w:autoSpaceDN w:val="0"/>
        <w:adjustRightInd w:val="0"/>
        <w:rPr>
          <w:rFonts w:eastAsiaTheme="minorHAnsi"/>
          <w:sz w:val="24"/>
          <w:szCs w:val="24"/>
          <w:lang w:eastAsia="en-US"/>
        </w:rPr>
      </w:pPr>
      <w:r w:rsidRPr="00CF3B8E">
        <w:rPr>
          <w:i/>
          <w:u w:val="single"/>
        </w:rPr>
        <w:t>Источник</w:t>
      </w:r>
      <w:r w:rsidRPr="00CF3B8E">
        <w:rPr>
          <w:i/>
        </w:rPr>
        <w:t>:</w:t>
      </w:r>
      <w:r>
        <w:rPr>
          <w:i/>
        </w:rPr>
        <w:t xml:space="preserve"> </w:t>
      </w:r>
      <w:r w:rsidRPr="00CF3B8E">
        <w:t>Официальной интернет-портал правовой информации" (</w:t>
      </w:r>
      <w:proofErr w:type="spellStart"/>
      <w:r w:rsidRPr="00CF3B8E">
        <w:t>www.pravo.gov.ru</w:t>
      </w:r>
      <w:proofErr w:type="spellEnd"/>
      <w:r w:rsidRPr="00CF3B8E">
        <w:t xml:space="preserve">) </w:t>
      </w:r>
      <w:r>
        <w:t xml:space="preserve"> </w:t>
      </w:r>
    </w:p>
    <w:p w:rsidR="00E55011" w:rsidRPr="00E55011" w:rsidRDefault="00CF3B8E" w:rsidP="00E55011">
      <w:pPr>
        <w:autoSpaceDE w:val="0"/>
        <w:autoSpaceDN w:val="0"/>
        <w:adjustRightInd w:val="0"/>
        <w:ind w:firstLine="720"/>
        <w:rPr>
          <w:rFonts w:eastAsiaTheme="minorHAnsi"/>
          <w:lang w:eastAsia="en-US"/>
        </w:rPr>
      </w:pPr>
      <w:r>
        <w:rPr>
          <w:rFonts w:eastAsiaTheme="minorHAnsi"/>
          <w:lang w:eastAsia="en-US"/>
        </w:rPr>
        <w:t xml:space="preserve">      </w:t>
      </w:r>
      <w:r w:rsidR="00E55011" w:rsidRPr="00E55011">
        <w:rPr>
          <w:rFonts w:eastAsiaTheme="minorHAnsi"/>
          <w:lang w:eastAsia="en-US"/>
        </w:rPr>
        <w:t xml:space="preserve">Зарегистрировано в Минюсте 06/07/2017. Регистрационный N 47317. </w:t>
      </w:r>
    </w:p>
    <w:p w:rsidR="00EF7AE7" w:rsidRDefault="00EF7AE7" w:rsidP="00E55011">
      <w:pPr>
        <w:autoSpaceDE w:val="0"/>
        <w:autoSpaceDN w:val="0"/>
        <w:adjustRightInd w:val="0"/>
        <w:ind w:firstLine="720"/>
        <w:rPr>
          <w:rFonts w:eastAsiaTheme="minorHAnsi"/>
          <w:sz w:val="24"/>
          <w:szCs w:val="24"/>
          <w:lang w:eastAsia="en-US"/>
        </w:rPr>
      </w:pPr>
    </w:p>
    <w:p w:rsidR="00EF7AE7" w:rsidRDefault="00EF7AE7" w:rsidP="00EF7AE7">
      <w:pPr>
        <w:rPr>
          <w:rFonts w:eastAsiaTheme="minorHAnsi"/>
          <w:sz w:val="24"/>
          <w:szCs w:val="24"/>
          <w:lang w:eastAsia="en-US"/>
        </w:rPr>
      </w:pPr>
    </w:p>
    <w:p w:rsidR="008E005C" w:rsidRPr="00EF7AE7" w:rsidRDefault="00EF7AE7" w:rsidP="00EF7AE7">
      <w:pPr>
        <w:jc w:val="right"/>
        <w:rPr>
          <w:rFonts w:eastAsiaTheme="minorHAnsi"/>
          <w:sz w:val="24"/>
          <w:szCs w:val="24"/>
          <w:lang w:eastAsia="en-US"/>
        </w:rPr>
      </w:pPr>
      <w:r>
        <w:rPr>
          <w:rFonts w:eastAsiaTheme="minorHAnsi"/>
          <w:sz w:val="24"/>
          <w:szCs w:val="24"/>
          <w:lang w:eastAsia="en-US"/>
        </w:rPr>
        <w:t>Правовой отдел областной организации Профсоюза</w:t>
      </w:r>
    </w:p>
    <w:sectPr w:rsidR="008E005C" w:rsidRPr="00EF7AE7" w:rsidSect="00D3149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0549E6"/>
    <w:rsid w:val="000549E6"/>
    <w:rsid w:val="001C2763"/>
    <w:rsid w:val="001E618F"/>
    <w:rsid w:val="00252F26"/>
    <w:rsid w:val="003035D1"/>
    <w:rsid w:val="003676E4"/>
    <w:rsid w:val="004511A3"/>
    <w:rsid w:val="00471F87"/>
    <w:rsid w:val="004D0FF8"/>
    <w:rsid w:val="00564F35"/>
    <w:rsid w:val="00584E70"/>
    <w:rsid w:val="00641C53"/>
    <w:rsid w:val="00652743"/>
    <w:rsid w:val="006E5AC7"/>
    <w:rsid w:val="00796693"/>
    <w:rsid w:val="007C3993"/>
    <w:rsid w:val="0085720D"/>
    <w:rsid w:val="008E005C"/>
    <w:rsid w:val="008F0044"/>
    <w:rsid w:val="00941AF0"/>
    <w:rsid w:val="00991DAA"/>
    <w:rsid w:val="009A5E48"/>
    <w:rsid w:val="00A91B0C"/>
    <w:rsid w:val="00AC25F8"/>
    <w:rsid w:val="00AC2789"/>
    <w:rsid w:val="00B406B8"/>
    <w:rsid w:val="00B701EE"/>
    <w:rsid w:val="00BA1709"/>
    <w:rsid w:val="00BF0EAA"/>
    <w:rsid w:val="00BF414A"/>
    <w:rsid w:val="00C07678"/>
    <w:rsid w:val="00CF3B8E"/>
    <w:rsid w:val="00D273D3"/>
    <w:rsid w:val="00D31492"/>
    <w:rsid w:val="00D34CEB"/>
    <w:rsid w:val="00D63BA9"/>
    <w:rsid w:val="00D90E54"/>
    <w:rsid w:val="00DC01CB"/>
    <w:rsid w:val="00E10834"/>
    <w:rsid w:val="00E55011"/>
    <w:rsid w:val="00EF7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E48"/>
    <w:pPr>
      <w:spacing w:after="0" w:line="240" w:lineRule="auto"/>
      <w:jc w:val="both"/>
    </w:pPr>
    <w:rPr>
      <w:rFonts w:eastAsia="Times New Roman"/>
      <w:sz w:val="20"/>
      <w:szCs w:val="20"/>
      <w:lang w:eastAsia="ru-RU"/>
    </w:rPr>
  </w:style>
  <w:style w:type="paragraph" w:styleId="1">
    <w:name w:val="heading 1"/>
    <w:basedOn w:val="a"/>
    <w:next w:val="a"/>
    <w:link w:val="10"/>
    <w:uiPriority w:val="99"/>
    <w:qFormat/>
    <w:rsid w:val="000549E6"/>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49E6"/>
    <w:rPr>
      <w:color w:val="0000FF"/>
      <w:u w:val="single"/>
    </w:rPr>
  </w:style>
  <w:style w:type="paragraph" w:styleId="a4">
    <w:name w:val="Normal (Web)"/>
    <w:basedOn w:val="a"/>
    <w:uiPriority w:val="99"/>
    <w:unhideWhenUsed/>
    <w:rsid w:val="000549E6"/>
    <w:pPr>
      <w:spacing w:before="100" w:beforeAutospacing="1" w:after="100" w:afterAutospacing="1"/>
    </w:pPr>
    <w:rPr>
      <w:sz w:val="24"/>
      <w:szCs w:val="24"/>
    </w:rPr>
  </w:style>
  <w:style w:type="paragraph" w:styleId="a5">
    <w:name w:val="Balloon Text"/>
    <w:basedOn w:val="a"/>
    <w:link w:val="a6"/>
    <w:uiPriority w:val="99"/>
    <w:semiHidden/>
    <w:unhideWhenUsed/>
    <w:rsid w:val="000549E6"/>
    <w:rPr>
      <w:rFonts w:ascii="Tahoma" w:hAnsi="Tahoma" w:cs="Tahoma"/>
      <w:sz w:val="16"/>
      <w:szCs w:val="16"/>
    </w:rPr>
  </w:style>
  <w:style w:type="character" w:customStyle="1" w:styleId="a6">
    <w:name w:val="Текст выноски Знак"/>
    <w:basedOn w:val="a0"/>
    <w:link w:val="a5"/>
    <w:uiPriority w:val="99"/>
    <w:semiHidden/>
    <w:rsid w:val="000549E6"/>
    <w:rPr>
      <w:rFonts w:ascii="Tahoma" w:hAnsi="Tahoma" w:cs="Tahoma"/>
      <w:sz w:val="16"/>
      <w:szCs w:val="16"/>
    </w:rPr>
  </w:style>
  <w:style w:type="character" w:customStyle="1" w:styleId="10">
    <w:name w:val="Заголовок 1 Знак"/>
    <w:basedOn w:val="a0"/>
    <w:link w:val="1"/>
    <w:uiPriority w:val="99"/>
    <w:rsid w:val="000549E6"/>
    <w:rPr>
      <w:rFonts w:ascii="Arial" w:hAnsi="Arial" w:cs="Arial"/>
      <w:b/>
      <w:bCs/>
      <w:color w:val="26282F"/>
      <w:sz w:val="24"/>
      <w:szCs w:val="24"/>
    </w:rPr>
  </w:style>
  <w:style w:type="paragraph" w:customStyle="1" w:styleId="a7">
    <w:name w:val="Заголовок статьи"/>
    <w:basedOn w:val="a"/>
    <w:next w:val="a"/>
    <w:uiPriority w:val="99"/>
    <w:rsid w:val="000549E6"/>
    <w:pPr>
      <w:autoSpaceDE w:val="0"/>
      <w:autoSpaceDN w:val="0"/>
      <w:adjustRightInd w:val="0"/>
      <w:ind w:left="1612" w:hanging="892"/>
    </w:pPr>
    <w:rPr>
      <w:rFonts w:ascii="Arial" w:hAnsi="Arial" w:cs="Arial"/>
      <w:sz w:val="24"/>
      <w:szCs w:val="24"/>
    </w:rPr>
  </w:style>
  <w:style w:type="character" w:customStyle="1" w:styleId="a8">
    <w:name w:val="Сравнение редакций. Удаленный фрагмент"/>
    <w:uiPriority w:val="99"/>
    <w:rsid w:val="004D0FF8"/>
    <w:rPr>
      <w:color w:val="000000"/>
      <w:shd w:val="clear" w:color="auto" w:fill="C4C413"/>
    </w:rPr>
  </w:style>
  <w:style w:type="paragraph" w:styleId="a9">
    <w:name w:val="No Spacing"/>
    <w:uiPriority w:val="1"/>
    <w:qFormat/>
    <w:rsid w:val="009A5E48"/>
    <w:pPr>
      <w:spacing w:after="0" w:line="240" w:lineRule="auto"/>
      <w:jc w:val="both"/>
    </w:pPr>
    <w:rPr>
      <w:rFonts w:eastAsia="Times New Roman"/>
      <w:sz w:val="20"/>
      <w:szCs w:val="20"/>
      <w:lang w:eastAsia="ru-RU"/>
    </w:rPr>
  </w:style>
  <w:style w:type="character" w:customStyle="1" w:styleId="aa">
    <w:name w:val="Цветовое выделение"/>
    <w:uiPriority w:val="99"/>
    <w:rsid w:val="008E005C"/>
    <w:rPr>
      <w:b/>
      <w:bCs/>
      <w:color w:val="26282F"/>
    </w:rPr>
  </w:style>
  <w:style w:type="character" w:customStyle="1" w:styleId="ab">
    <w:name w:val="Гипертекстовая ссылка"/>
    <w:basedOn w:val="aa"/>
    <w:uiPriority w:val="99"/>
    <w:rsid w:val="008E005C"/>
    <w:rPr>
      <w:color w:val="106BBE"/>
    </w:rPr>
  </w:style>
  <w:style w:type="paragraph" w:customStyle="1" w:styleId="ac">
    <w:name w:val="Комментарий"/>
    <w:basedOn w:val="a"/>
    <w:next w:val="a"/>
    <w:uiPriority w:val="99"/>
    <w:rsid w:val="008E005C"/>
    <w:pPr>
      <w:autoSpaceDE w:val="0"/>
      <w:autoSpaceDN w:val="0"/>
      <w:adjustRightInd w:val="0"/>
      <w:spacing w:before="75"/>
      <w:ind w:left="170"/>
    </w:pPr>
    <w:rPr>
      <w:rFonts w:ascii="Arial" w:eastAsiaTheme="minorHAnsi" w:hAnsi="Arial" w:cs="Arial"/>
      <w:color w:val="353842"/>
      <w:sz w:val="24"/>
      <w:szCs w:val="24"/>
      <w:shd w:val="clear" w:color="auto" w:fill="F0F0F0"/>
      <w:lang w:eastAsia="en-US"/>
    </w:rPr>
  </w:style>
  <w:style w:type="paragraph" w:customStyle="1" w:styleId="ad">
    <w:name w:val="Прижатый влево"/>
    <w:basedOn w:val="a"/>
    <w:next w:val="a"/>
    <w:uiPriority w:val="99"/>
    <w:rsid w:val="00A91B0C"/>
    <w:pPr>
      <w:autoSpaceDE w:val="0"/>
      <w:autoSpaceDN w:val="0"/>
      <w:adjustRightInd w:val="0"/>
      <w:jc w:val="left"/>
    </w:pPr>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garantF1://7161319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52DCD-6890-4AB4-9A6E-597112B7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Татьяна</cp:lastModifiedBy>
  <cp:revision>3</cp:revision>
  <dcterms:created xsi:type="dcterms:W3CDTF">2017-07-18T06:11:00Z</dcterms:created>
  <dcterms:modified xsi:type="dcterms:W3CDTF">2017-07-18T07:01:00Z</dcterms:modified>
</cp:coreProperties>
</file>